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E9D" w:rsidRDefault="00977310">
      <w:pPr>
        <w:jc w:val="center"/>
        <w:rPr>
          <w:rFonts w:ascii="Arial" w:eastAsia="Arial" w:hAnsi="Arial" w:cs="Arial"/>
          <w:b/>
          <w:sz w:val="36"/>
          <w:szCs w:val="36"/>
        </w:rPr>
      </w:pPr>
      <w:bookmarkStart w:id="0" w:name="_GoBack"/>
      <w:bookmarkEnd w:id="0"/>
      <w:r>
        <w:rPr>
          <w:rFonts w:ascii="Arial" w:eastAsia="Arial" w:hAnsi="Arial" w:cs="Arial"/>
          <w:b/>
          <w:sz w:val="36"/>
          <w:szCs w:val="36"/>
        </w:rPr>
        <w:t>Request for Specific Variance</w:t>
      </w:r>
    </w:p>
    <w:p w:rsidR="00F46E9D" w:rsidRDefault="00977310">
      <w:pPr>
        <w:spacing w:line="276" w:lineRule="auto"/>
        <w:jc w:val="center"/>
        <w:rPr>
          <w:rFonts w:ascii="Arial" w:eastAsia="Arial" w:hAnsi="Arial" w:cs="Arial"/>
          <w:b/>
          <w:sz w:val="30"/>
          <w:szCs w:val="30"/>
        </w:rPr>
      </w:pPr>
      <w:r>
        <w:rPr>
          <w:rFonts w:ascii="Arial" w:eastAsia="Arial" w:hAnsi="Arial" w:cs="Arial"/>
          <w:b/>
          <w:sz w:val="20"/>
          <w:szCs w:val="20"/>
        </w:rPr>
        <w:t>Outside 10-Minute Response Time</w:t>
      </w:r>
    </w:p>
    <w:p w:rsidR="00F46E9D" w:rsidRDefault="00F46E9D">
      <w:pPr>
        <w:jc w:val="center"/>
        <w:rPr>
          <w:rFonts w:ascii="Arial" w:eastAsia="Arial" w:hAnsi="Arial" w:cs="Arial"/>
          <w:sz w:val="20"/>
          <w:szCs w:val="20"/>
        </w:rPr>
      </w:pPr>
    </w:p>
    <w:tbl>
      <w:tblPr>
        <w:tblStyle w:val="a"/>
        <w:tblW w:w="10215" w:type="dxa"/>
        <w:tblInd w:w="-327" w:type="dxa"/>
        <w:tblLayout w:type="fixed"/>
        <w:tblLook w:val="0000" w:firstRow="0" w:lastRow="0" w:firstColumn="0" w:lastColumn="0" w:noHBand="0" w:noVBand="0"/>
      </w:tblPr>
      <w:tblGrid>
        <w:gridCol w:w="1875"/>
        <w:gridCol w:w="8340"/>
      </w:tblGrid>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Explanation of variance</w:t>
            </w:r>
          </w:p>
          <w:p w:rsidR="00F46E9D" w:rsidRDefault="00F46E9D">
            <w:pPr>
              <w:rPr>
                <w:rFonts w:ascii="Arial" w:eastAsia="Arial" w:hAnsi="Arial" w:cs="Arial"/>
                <w:sz w:val="20"/>
                <w:szCs w:val="20"/>
              </w:rPr>
            </w:pPr>
          </w:p>
        </w:tc>
        <w:tc>
          <w:tcPr>
            <w:tcW w:w="8340"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 xml:space="preserve">A Variance is written permission issued to build, install, process, or otherwise act in a manner not consistent with the provision of an applicable code but which provides, in the opinion of the issuing Administrator or Safety Codes Officer, an equivalent </w:t>
            </w:r>
            <w:r>
              <w:rPr>
                <w:rFonts w:ascii="Arial" w:eastAsia="Arial" w:hAnsi="Arial" w:cs="Arial"/>
                <w:sz w:val="20"/>
                <w:szCs w:val="20"/>
              </w:rPr>
              <w:t>or greater level of safety to persons and property. A Variance issued by a Safety Codes Officer is specific. A Variance sets no precedent.</w:t>
            </w:r>
          </w:p>
        </w:tc>
      </w:tr>
      <w:tr w:rsidR="00F46E9D">
        <w:trPr>
          <w:trHeight w:val="207"/>
        </w:trPr>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br/>
              <w:t>Date of request</w:t>
            </w:r>
          </w:p>
        </w:tc>
        <w:tc>
          <w:tcPr>
            <w:tcW w:w="8340" w:type="dxa"/>
            <w:shd w:val="clear" w:color="auto" w:fill="FFFFFF"/>
          </w:tcPr>
          <w:p w:rsidR="00F46E9D" w:rsidRDefault="00F46E9D">
            <w:pPr>
              <w:rPr>
                <w:rFonts w:ascii="Arial" w:eastAsia="Arial" w:hAnsi="Arial" w:cs="Arial"/>
                <w:color w:val="CC0000"/>
                <w:sz w:val="20"/>
                <w:szCs w:val="20"/>
              </w:rPr>
            </w:pPr>
          </w:p>
          <w:p w:rsidR="00F46E9D" w:rsidRDefault="00977310">
            <w:pPr>
              <w:rPr>
                <w:rFonts w:ascii="Arial" w:eastAsia="Arial" w:hAnsi="Arial" w:cs="Arial"/>
                <w:color w:val="CC0000"/>
                <w:sz w:val="20"/>
                <w:szCs w:val="20"/>
              </w:rPr>
            </w:pPr>
            <w:r>
              <w:rPr>
                <w:rFonts w:ascii="Arial" w:eastAsia="Arial" w:hAnsi="Arial" w:cs="Arial"/>
                <w:color w:val="CC0000"/>
                <w:sz w:val="20"/>
                <w:szCs w:val="20"/>
              </w:rPr>
              <w:t>DD, MMM, YYYY</w:t>
            </w:r>
          </w:p>
        </w:tc>
      </w:tr>
      <w:tr w:rsidR="00F46E9D">
        <w:trPr>
          <w:trHeight w:val="882"/>
        </w:trPr>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 xml:space="preserve">Name and address of owner and/or owner’s agent requesting variance </w:t>
            </w:r>
          </w:p>
          <w:p w:rsidR="00F46E9D" w:rsidRDefault="00F46E9D">
            <w:pPr>
              <w:rPr>
                <w:rFonts w:ascii="Arial" w:eastAsia="Arial" w:hAnsi="Arial" w:cs="Arial"/>
                <w:sz w:val="20"/>
                <w:szCs w:val="20"/>
              </w:rPr>
            </w:pPr>
          </w:p>
        </w:tc>
        <w:tc>
          <w:tcPr>
            <w:tcW w:w="8340" w:type="dxa"/>
            <w:shd w:val="clear" w:color="auto" w:fill="FFFFFF"/>
          </w:tcPr>
          <w:p w:rsidR="00F46E9D" w:rsidRDefault="00977310">
            <w:pPr>
              <w:rPr>
                <w:rFonts w:ascii="Arial" w:eastAsia="Arial" w:hAnsi="Arial" w:cs="Arial"/>
                <w:color w:val="CC0000"/>
                <w:sz w:val="20"/>
                <w:szCs w:val="20"/>
              </w:rPr>
            </w:pPr>
            <w:r>
              <w:rPr>
                <w:rFonts w:ascii="Arial" w:eastAsia="Arial" w:hAnsi="Arial" w:cs="Arial"/>
                <w:color w:val="CC0000"/>
                <w:sz w:val="20"/>
                <w:szCs w:val="20"/>
              </w:rPr>
              <w:t>COMPANY NAME</w:t>
            </w:r>
          </w:p>
          <w:p w:rsidR="00F46E9D" w:rsidRDefault="00977310">
            <w:pPr>
              <w:rPr>
                <w:rFonts w:ascii="Arial" w:eastAsia="Arial" w:hAnsi="Arial" w:cs="Arial"/>
                <w:color w:val="CC0000"/>
                <w:sz w:val="20"/>
                <w:szCs w:val="20"/>
              </w:rPr>
            </w:pPr>
            <w:r>
              <w:rPr>
                <w:rFonts w:ascii="Arial" w:eastAsia="Arial" w:hAnsi="Arial" w:cs="Arial"/>
                <w:color w:val="CC0000"/>
                <w:sz w:val="20"/>
                <w:szCs w:val="20"/>
              </w:rPr>
              <w:t>A</w:t>
            </w:r>
            <w:r>
              <w:rPr>
                <w:rFonts w:ascii="Arial" w:eastAsia="Arial" w:hAnsi="Arial" w:cs="Arial"/>
                <w:color w:val="CC0000"/>
                <w:sz w:val="20"/>
                <w:szCs w:val="20"/>
              </w:rPr>
              <w:t>DDRESS</w:t>
            </w:r>
          </w:p>
          <w:p w:rsidR="00F46E9D" w:rsidRDefault="00977310">
            <w:pPr>
              <w:rPr>
                <w:rFonts w:ascii="Arial" w:eastAsia="Arial" w:hAnsi="Arial" w:cs="Arial"/>
                <w:color w:val="CC0000"/>
                <w:sz w:val="20"/>
                <w:szCs w:val="20"/>
              </w:rPr>
            </w:pPr>
            <w:r>
              <w:rPr>
                <w:rFonts w:ascii="Arial" w:eastAsia="Arial" w:hAnsi="Arial" w:cs="Arial"/>
                <w:color w:val="CC0000"/>
                <w:sz w:val="20"/>
                <w:szCs w:val="20"/>
              </w:rPr>
              <w:t>Edmonton, Alberta</w:t>
            </w:r>
          </w:p>
          <w:p w:rsidR="00F46E9D" w:rsidRDefault="00977310">
            <w:pPr>
              <w:rPr>
                <w:rFonts w:ascii="Arial" w:eastAsia="Arial" w:hAnsi="Arial" w:cs="Arial"/>
                <w:color w:val="CC0000"/>
                <w:sz w:val="20"/>
                <w:szCs w:val="20"/>
              </w:rPr>
            </w:pPr>
            <w:r>
              <w:rPr>
                <w:rFonts w:ascii="Arial" w:eastAsia="Arial" w:hAnsi="Arial" w:cs="Arial"/>
                <w:color w:val="CC0000"/>
                <w:sz w:val="20"/>
                <w:szCs w:val="20"/>
              </w:rPr>
              <w:t>POSTALCODE</w:t>
            </w:r>
          </w:p>
          <w:p w:rsidR="00F46E9D" w:rsidRDefault="00F46E9D">
            <w:pPr>
              <w:rPr>
                <w:rFonts w:ascii="Arial" w:eastAsia="Arial" w:hAnsi="Arial" w:cs="Arial"/>
                <w:color w:val="CC0000"/>
                <w:sz w:val="20"/>
                <w:szCs w:val="20"/>
              </w:rPr>
            </w:pPr>
          </w:p>
        </w:tc>
      </w:tr>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Code item to be varied</w:t>
            </w:r>
          </w:p>
          <w:p w:rsidR="00F46E9D" w:rsidRDefault="00F46E9D">
            <w:pPr>
              <w:rPr>
                <w:rFonts w:ascii="Arial" w:eastAsia="Arial" w:hAnsi="Arial" w:cs="Arial"/>
                <w:sz w:val="20"/>
                <w:szCs w:val="20"/>
              </w:rPr>
            </w:pPr>
          </w:p>
          <w:p w:rsidR="00F46E9D" w:rsidRDefault="00F46E9D">
            <w:pPr>
              <w:rPr>
                <w:rFonts w:ascii="Arial" w:eastAsia="Arial" w:hAnsi="Arial" w:cs="Arial"/>
                <w:sz w:val="20"/>
                <w:szCs w:val="20"/>
              </w:rPr>
            </w:pPr>
          </w:p>
        </w:tc>
        <w:tc>
          <w:tcPr>
            <w:tcW w:w="8340"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 xml:space="preserve">National Building Code - 2019 Alberta Edition: Division B: Article 9.10.15.3.(1) Limiting Distance and Fire Department Response. </w:t>
            </w:r>
          </w:p>
          <w:p w:rsidR="00F46E9D" w:rsidRDefault="00977310">
            <w:pPr>
              <w:rPr>
                <w:rFonts w:ascii="Arial" w:eastAsia="Arial" w:hAnsi="Arial" w:cs="Arial"/>
                <w:sz w:val="20"/>
                <w:szCs w:val="20"/>
              </w:rPr>
            </w:pPr>
            <w:r>
              <w:rPr>
                <w:rFonts w:ascii="Arial" w:eastAsia="Arial" w:hAnsi="Arial" w:cs="Arial"/>
                <w:sz w:val="20"/>
                <w:szCs w:val="20"/>
              </w:rPr>
              <w:t xml:space="preserve">The functional and objective statements applicable to this article are:. </w:t>
            </w:r>
          </w:p>
          <w:p w:rsidR="00F46E9D" w:rsidRDefault="00977310">
            <w:pPr>
              <w:rPr>
                <w:rFonts w:ascii="Arial" w:eastAsia="Arial" w:hAnsi="Arial" w:cs="Arial"/>
                <w:sz w:val="20"/>
                <w:szCs w:val="20"/>
              </w:rPr>
            </w:pPr>
            <w:r>
              <w:rPr>
                <w:rFonts w:ascii="Arial" w:eastAsia="Arial" w:hAnsi="Arial" w:cs="Arial"/>
                <w:sz w:val="20"/>
                <w:szCs w:val="20"/>
              </w:rPr>
              <w:t xml:space="preserve">(F03) To retard the effects of fire on areas beyond its point of origin, so that </w:t>
            </w:r>
          </w:p>
          <w:p w:rsidR="00F46E9D" w:rsidRDefault="00977310">
            <w:pPr>
              <w:rPr>
                <w:rFonts w:ascii="Arial" w:eastAsia="Arial" w:hAnsi="Arial" w:cs="Arial"/>
                <w:sz w:val="20"/>
                <w:szCs w:val="20"/>
              </w:rPr>
            </w:pPr>
            <w:r>
              <w:rPr>
                <w:rFonts w:ascii="Arial" w:eastAsia="Arial" w:hAnsi="Arial" w:cs="Arial"/>
                <w:sz w:val="20"/>
                <w:szCs w:val="20"/>
              </w:rPr>
              <w:t>(OP3.1) adjacent buildings or facilities will not be exposed to an unacceptable risk of</w:t>
            </w:r>
          </w:p>
          <w:p w:rsidR="00F46E9D" w:rsidRDefault="00977310">
            <w:pPr>
              <w:rPr>
                <w:rFonts w:ascii="Arial" w:eastAsia="Arial" w:hAnsi="Arial" w:cs="Arial"/>
                <w:sz w:val="20"/>
                <w:szCs w:val="20"/>
              </w:rPr>
            </w:pPr>
            <w:r>
              <w:rPr>
                <w:rFonts w:ascii="Arial" w:eastAsia="Arial" w:hAnsi="Arial" w:cs="Arial"/>
                <w:sz w:val="20"/>
                <w:szCs w:val="20"/>
              </w:rPr>
              <w:t xml:space="preserve">damage as a </w:t>
            </w:r>
            <w:r>
              <w:rPr>
                <w:rFonts w:ascii="Arial" w:eastAsia="Arial" w:hAnsi="Arial" w:cs="Arial"/>
                <w:sz w:val="20"/>
                <w:szCs w:val="20"/>
              </w:rPr>
              <w:t>result of fire or explosion impacting areas beyond the building or facility of origin.</w:t>
            </w:r>
          </w:p>
        </w:tc>
      </w:tr>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Reason for requiring a  variance</w:t>
            </w:r>
          </w:p>
          <w:p w:rsidR="00F46E9D" w:rsidRDefault="00F46E9D">
            <w:pPr>
              <w:rPr>
                <w:rFonts w:ascii="Arial" w:eastAsia="Arial" w:hAnsi="Arial" w:cs="Arial"/>
                <w:sz w:val="20"/>
                <w:szCs w:val="20"/>
              </w:rPr>
            </w:pPr>
          </w:p>
        </w:tc>
        <w:tc>
          <w:tcPr>
            <w:tcW w:w="8340" w:type="dxa"/>
            <w:shd w:val="clear" w:color="auto" w:fill="FFFFFF"/>
          </w:tcPr>
          <w:p w:rsidR="00F46E9D" w:rsidRDefault="00977310">
            <w:pPr>
              <w:tabs>
                <w:tab w:val="left" w:pos="-108"/>
              </w:tabs>
              <w:rPr>
                <w:rFonts w:ascii="Arial" w:eastAsia="Arial" w:hAnsi="Arial" w:cs="Arial"/>
                <w:color w:val="FF00FF"/>
                <w:sz w:val="20"/>
                <w:szCs w:val="20"/>
              </w:rPr>
            </w:pPr>
            <w:r>
              <w:rPr>
                <w:rFonts w:ascii="Arial" w:eastAsia="Arial" w:hAnsi="Arial" w:cs="Arial"/>
                <w:sz w:val="20"/>
                <w:szCs w:val="20"/>
              </w:rPr>
              <w:t>To allow for the installation of glazed openings in exterior side walls that are 1.2m to 2.4m from the side yard property lines, for a house located outside the City of Edmonton Fire Department 10 minute response time boundary.</w:t>
            </w:r>
          </w:p>
          <w:p w:rsidR="00F46E9D" w:rsidRDefault="00F46E9D">
            <w:pPr>
              <w:tabs>
                <w:tab w:val="left" w:pos="-108"/>
              </w:tabs>
              <w:rPr>
                <w:rFonts w:ascii="Arial" w:eastAsia="Arial" w:hAnsi="Arial" w:cs="Arial"/>
                <w:sz w:val="20"/>
                <w:szCs w:val="20"/>
              </w:rPr>
            </w:pPr>
          </w:p>
        </w:tc>
      </w:tr>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Details of proposed variance</w:t>
            </w:r>
          </w:p>
          <w:p w:rsidR="00F46E9D" w:rsidRDefault="00F46E9D">
            <w:pPr>
              <w:rPr>
                <w:rFonts w:ascii="Arial" w:eastAsia="Arial" w:hAnsi="Arial" w:cs="Arial"/>
                <w:sz w:val="20"/>
                <w:szCs w:val="20"/>
              </w:rPr>
            </w:pPr>
          </w:p>
        </w:tc>
        <w:tc>
          <w:tcPr>
            <w:tcW w:w="8340" w:type="dxa"/>
            <w:shd w:val="clear" w:color="auto" w:fill="FFFFFF"/>
          </w:tcPr>
          <w:p w:rsidR="00F46E9D" w:rsidRDefault="00977310">
            <w:pPr>
              <w:spacing w:after="200"/>
              <w:rPr>
                <w:rFonts w:ascii="Arial" w:eastAsia="Arial" w:hAnsi="Arial" w:cs="Arial"/>
                <w:sz w:val="20"/>
                <w:szCs w:val="20"/>
              </w:rPr>
            </w:pPr>
            <w:r>
              <w:rPr>
                <w:rFonts w:ascii="Arial" w:eastAsia="Arial" w:hAnsi="Arial" w:cs="Arial"/>
                <w:sz w:val="20"/>
                <w:szCs w:val="20"/>
              </w:rPr>
              <w:t xml:space="preserve">A Variance is requested in respect to the requirements of the National Building Code - 2019 Alberta Edition: Division B: Article 9.10.15.3.(1) Limiting Distance and Fire Department Response.   </w:t>
            </w:r>
          </w:p>
          <w:p w:rsidR="00F46E9D" w:rsidRDefault="00977310">
            <w:pPr>
              <w:spacing w:after="200"/>
              <w:rPr>
                <w:rFonts w:ascii="Arial" w:eastAsia="Arial" w:hAnsi="Arial" w:cs="Arial"/>
                <w:sz w:val="20"/>
                <w:szCs w:val="20"/>
              </w:rPr>
            </w:pPr>
            <w:r>
              <w:rPr>
                <w:rFonts w:ascii="Arial" w:eastAsia="Arial" w:hAnsi="Arial" w:cs="Arial"/>
                <w:sz w:val="20"/>
                <w:szCs w:val="20"/>
              </w:rPr>
              <w:t>The windows located in the exter</w:t>
            </w:r>
            <w:r>
              <w:rPr>
                <w:rFonts w:ascii="Arial" w:eastAsia="Arial" w:hAnsi="Arial" w:cs="Arial"/>
                <w:sz w:val="20"/>
                <w:szCs w:val="20"/>
              </w:rPr>
              <w:t xml:space="preserve">ior wall 1.2m to 2.4m from the side yard property lines shall have metal clad wood frames, with triple glazing, argon filling and low “E” coating. They are permitted to be openable or fixed, </w:t>
            </w:r>
            <w:r>
              <w:rPr>
                <w:rFonts w:ascii="Arial" w:eastAsia="Arial" w:hAnsi="Arial" w:cs="Arial"/>
                <w:b/>
                <w:sz w:val="20"/>
                <w:szCs w:val="20"/>
              </w:rPr>
              <w:t>but not</w:t>
            </w:r>
            <w:r>
              <w:rPr>
                <w:rFonts w:ascii="Arial" w:eastAsia="Arial" w:hAnsi="Arial" w:cs="Arial"/>
                <w:sz w:val="20"/>
                <w:szCs w:val="20"/>
              </w:rPr>
              <w:t xml:space="preserve"> of a slider type.   </w:t>
            </w:r>
          </w:p>
          <w:p w:rsidR="00F46E9D" w:rsidRDefault="00977310">
            <w:pPr>
              <w:rPr>
                <w:rFonts w:ascii="Arial" w:eastAsia="Arial" w:hAnsi="Arial" w:cs="Arial"/>
                <w:sz w:val="20"/>
                <w:szCs w:val="20"/>
              </w:rPr>
            </w:pPr>
            <w:r>
              <w:rPr>
                <w:rFonts w:ascii="Arial" w:eastAsia="Arial" w:hAnsi="Arial" w:cs="Arial"/>
                <w:b/>
                <w:sz w:val="20"/>
                <w:szCs w:val="20"/>
              </w:rPr>
              <w:t>Affected Windows</w:t>
            </w:r>
          </w:p>
          <w:p w:rsidR="00F46E9D" w:rsidRDefault="00977310">
            <w:pPr>
              <w:rPr>
                <w:rFonts w:ascii="Arial" w:eastAsia="Arial" w:hAnsi="Arial" w:cs="Arial"/>
                <w:sz w:val="20"/>
                <w:szCs w:val="20"/>
              </w:rPr>
            </w:pPr>
            <w:r>
              <w:rPr>
                <w:rFonts w:ascii="Arial" w:eastAsia="Arial" w:hAnsi="Arial" w:cs="Arial"/>
                <w:sz w:val="20"/>
                <w:szCs w:val="20"/>
              </w:rPr>
              <w:t>Right side elevatio</w:t>
            </w:r>
            <w:r>
              <w:rPr>
                <w:rFonts w:ascii="Arial" w:eastAsia="Arial" w:hAnsi="Arial" w:cs="Arial"/>
                <w:sz w:val="20"/>
                <w:szCs w:val="20"/>
              </w:rPr>
              <w:t xml:space="preserve">n: </w:t>
            </w:r>
          </w:p>
          <w:p w:rsidR="00F46E9D" w:rsidRDefault="00977310">
            <w:pPr>
              <w:spacing w:line="276" w:lineRule="auto"/>
              <w:ind w:left="720"/>
              <w:rPr>
                <w:rFonts w:ascii="Arial" w:eastAsia="Arial" w:hAnsi="Arial" w:cs="Arial"/>
                <w:color w:val="FF00FF"/>
                <w:sz w:val="20"/>
                <w:szCs w:val="20"/>
              </w:rPr>
            </w:pPr>
            <w:r>
              <w:rPr>
                <w:rFonts w:ascii="Arial" w:eastAsia="Arial" w:hAnsi="Arial" w:cs="Arial"/>
                <w:color w:val="FF0000"/>
                <w:sz w:val="20"/>
                <w:szCs w:val="20"/>
              </w:rPr>
              <w:t xml:space="preserve">Basement: </w:t>
            </w:r>
          </w:p>
          <w:p w:rsidR="00F46E9D" w:rsidRDefault="00977310">
            <w:pPr>
              <w:spacing w:line="276" w:lineRule="auto"/>
              <w:ind w:left="720"/>
              <w:rPr>
                <w:rFonts w:ascii="Arial" w:eastAsia="Arial" w:hAnsi="Arial" w:cs="Arial"/>
                <w:color w:val="FF0000"/>
                <w:sz w:val="20"/>
                <w:szCs w:val="20"/>
              </w:rPr>
            </w:pPr>
            <w:r>
              <w:rPr>
                <w:rFonts w:ascii="Arial" w:eastAsia="Arial" w:hAnsi="Arial" w:cs="Arial"/>
                <w:color w:val="FF0000"/>
                <w:sz w:val="20"/>
                <w:szCs w:val="20"/>
              </w:rPr>
              <w:t xml:space="preserve">Main Floor: </w:t>
            </w:r>
          </w:p>
          <w:p w:rsidR="00F46E9D" w:rsidRDefault="00977310">
            <w:pPr>
              <w:rPr>
                <w:rFonts w:ascii="Arial" w:eastAsia="Arial" w:hAnsi="Arial" w:cs="Arial"/>
                <w:color w:val="FF0000"/>
                <w:sz w:val="20"/>
                <w:szCs w:val="20"/>
              </w:rPr>
            </w:pPr>
            <w:r>
              <w:rPr>
                <w:rFonts w:ascii="Arial" w:eastAsia="Arial" w:hAnsi="Arial" w:cs="Arial"/>
                <w:color w:val="FF0000"/>
                <w:sz w:val="20"/>
                <w:szCs w:val="20"/>
              </w:rPr>
              <w:t>Second Floor:</w:t>
            </w:r>
          </w:p>
          <w:p w:rsidR="00F46E9D" w:rsidRDefault="00F46E9D">
            <w:pPr>
              <w:rPr>
                <w:rFonts w:ascii="Arial" w:eastAsia="Arial" w:hAnsi="Arial" w:cs="Arial"/>
                <w:sz w:val="20"/>
                <w:szCs w:val="20"/>
              </w:rPr>
            </w:pPr>
          </w:p>
          <w:p w:rsidR="00F46E9D" w:rsidRDefault="00977310">
            <w:pPr>
              <w:rPr>
                <w:rFonts w:ascii="Arial" w:eastAsia="Arial" w:hAnsi="Arial" w:cs="Arial"/>
                <w:sz w:val="20"/>
                <w:szCs w:val="20"/>
              </w:rPr>
            </w:pPr>
            <w:r>
              <w:rPr>
                <w:rFonts w:ascii="Arial" w:eastAsia="Arial" w:hAnsi="Arial" w:cs="Arial"/>
                <w:sz w:val="20"/>
                <w:szCs w:val="20"/>
              </w:rPr>
              <w:t xml:space="preserve">Left side elevation: </w:t>
            </w:r>
          </w:p>
          <w:p w:rsidR="00F46E9D" w:rsidRDefault="00977310">
            <w:pPr>
              <w:spacing w:line="276" w:lineRule="auto"/>
              <w:ind w:left="720"/>
              <w:rPr>
                <w:rFonts w:ascii="Arial" w:eastAsia="Arial" w:hAnsi="Arial" w:cs="Arial"/>
                <w:color w:val="FF00FF"/>
                <w:sz w:val="20"/>
                <w:szCs w:val="20"/>
              </w:rPr>
            </w:pPr>
            <w:r>
              <w:rPr>
                <w:rFonts w:ascii="Arial" w:eastAsia="Arial" w:hAnsi="Arial" w:cs="Arial"/>
                <w:color w:val="FF0000"/>
                <w:sz w:val="20"/>
                <w:szCs w:val="20"/>
              </w:rPr>
              <w:t xml:space="preserve">Basement: </w:t>
            </w:r>
          </w:p>
          <w:p w:rsidR="00F46E9D" w:rsidRDefault="00977310">
            <w:pPr>
              <w:spacing w:line="276" w:lineRule="auto"/>
              <w:ind w:left="720"/>
              <w:rPr>
                <w:rFonts w:ascii="Arial" w:eastAsia="Arial" w:hAnsi="Arial" w:cs="Arial"/>
                <w:color w:val="FF0000"/>
                <w:sz w:val="20"/>
                <w:szCs w:val="20"/>
              </w:rPr>
            </w:pPr>
            <w:r>
              <w:rPr>
                <w:rFonts w:ascii="Arial" w:eastAsia="Arial" w:hAnsi="Arial" w:cs="Arial"/>
                <w:color w:val="FF0000"/>
                <w:sz w:val="20"/>
                <w:szCs w:val="20"/>
              </w:rPr>
              <w:t xml:space="preserve">Main Floor: </w:t>
            </w:r>
          </w:p>
          <w:p w:rsidR="00F46E9D" w:rsidRDefault="00977310">
            <w:pPr>
              <w:rPr>
                <w:rFonts w:ascii="Arial" w:eastAsia="Arial" w:hAnsi="Arial" w:cs="Arial"/>
                <w:color w:val="FF0000"/>
                <w:sz w:val="20"/>
                <w:szCs w:val="20"/>
              </w:rPr>
            </w:pPr>
            <w:r>
              <w:rPr>
                <w:rFonts w:ascii="Arial" w:eastAsia="Arial" w:hAnsi="Arial" w:cs="Arial"/>
                <w:color w:val="FF0000"/>
                <w:sz w:val="20"/>
                <w:szCs w:val="20"/>
              </w:rPr>
              <w:t>Second Floor:</w:t>
            </w:r>
          </w:p>
          <w:p w:rsidR="00F46E9D" w:rsidRDefault="00F46E9D">
            <w:pPr>
              <w:rPr>
                <w:rFonts w:ascii="Arial" w:eastAsia="Arial" w:hAnsi="Arial" w:cs="Arial"/>
                <w:sz w:val="20"/>
                <w:szCs w:val="20"/>
              </w:rPr>
            </w:pPr>
          </w:p>
          <w:p w:rsidR="00F46E9D" w:rsidRDefault="00977310">
            <w:pPr>
              <w:rPr>
                <w:rFonts w:ascii="Arial" w:eastAsia="Arial" w:hAnsi="Arial" w:cs="Arial"/>
                <w:sz w:val="20"/>
                <w:szCs w:val="20"/>
              </w:rPr>
            </w:pPr>
            <w:r>
              <w:rPr>
                <w:rFonts w:ascii="Arial" w:eastAsia="Arial" w:hAnsi="Arial" w:cs="Arial"/>
                <w:sz w:val="20"/>
                <w:szCs w:val="20"/>
              </w:rPr>
              <w:t>The side walls are to be constructed as per the attached plans, including:</w:t>
            </w:r>
          </w:p>
          <w:p w:rsidR="00F46E9D" w:rsidRDefault="00977310">
            <w:pPr>
              <w:numPr>
                <w:ilvl w:val="0"/>
                <w:numId w:val="1"/>
              </w:numPr>
              <w:rPr>
                <w:rFonts w:ascii="Arial" w:eastAsia="Arial" w:hAnsi="Arial" w:cs="Arial"/>
                <w:sz w:val="20"/>
                <w:szCs w:val="20"/>
              </w:rPr>
            </w:pPr>
            <w:r>
              <w:rPr>
                <w:rFonts w:ascii="Arial" w:eastAsia="Arial" w:hAnsi="Arial" w:cs="Arial"/>
                <w:sz w:val="20"/>
                <w:szCs w:val="20"/>
              </w:rPr>
              <w:t>being sheathed on the exterior with 12.7mm (1/2 inch) exterior grade gypsum s</w:t>
            </w:r>
            <w:r>
              <w:rPr>
                <w:rFonts w:ascii="Arial" w:eastAsia="Arial" w:hAnsi="Arial" w:cs="Arial"/>
                <w:sz w:val="20"/>
                <w:szCs w:val="20"/>
              </w:rPr>
              <w:t xml:space="preserve">heathing that is manufactured to meet ASTM C 1177/C 1177M or ASTM C 1396/C 1396M per 9.23.17.2.(1). </w:t>
            </w:r>
          </w:p>
          <w:p w:rsidR="00F46E9D" w:rsidRDefault="00977310">
            <w:pPr>
              <w:numPr>
                <w:ilvl w:val="0"/>
                <w:numId w:val="1"/>
              </w:numPr>
              <w:rPr>
                <w:rFonts w:ascii="Arial" w:eastAsia="Arial" w:hAnsi="Arial" w:cs="Arial"/>
                <w:sz w:val="20"/>
                <w:szCs w:val="20"/>
              </w:rPr>
            </w:pPr>
            <w:r>
              <w:rPr>
                <w:rFonts w:ascii="Arial" w:eastAsia="Arial" w:hAnsi="Arial" w:cs="Arial"/>
                <w:sz w:val="20"/>
                <w:szCs w:val="20"/>
              </w:rPr>
              <w:t>The exposing building face and exterior walls located above the exposing</w:t>
            </w:r>
            <w:r>
              <w:rPr>
                <w:rFonts w:ascii="Arial" w:eastAsia="Arial" w:hAnsi="Arial" w:cs="Arial"/>
                <w:sz w:val="20"/>
                <w:szCs w:val="20"/>
              </w:rPr>
              <w:t xml:space="preserve"> building face that enclose an attic or roof space of the side walls located up to 2.4m from the side yard property line shall have a fire-resistance rating of not less than 45 min per 9.10.15.5.(3). </w:t>
            </w:r>
          </w:p>
          <w:p w:rsidR="00F46E9D" w:rsidRDefault="00977310">
            <w:pPr>
              <w:numPr>
                <w:ilvl w:val="0"/>
                <w:numId w:val="1"/>
              </w:numPr>
              <w:rPr>
                <w:rFonts w:ascii="Arial" w:eastAsia="Arial" w:hAnsi="Arial" w:cs="Arial"/>
                <w:sz w:val="20"/>
                <w:szCs w:val="20"/>
              </w:rPr>
            </w:pPr>
            <w:r>
              <w:rPr>
                <w:rFonts w:ascii="Arial" w:eastAsia="Arial" w:hAnsi="Arial" w:cs="Arial"/>
                <w:sz w:val="20"/>
                <w:szCs w:val="20"/>
              </w:rPr>
              <w:t>Soffits are to be non-venting per 9.10.15.5.(11).</w:t>
            </w:r>
          </w:p>
          <w:p w:rsidR="00F46E9D" w:rsidRDefault="00F46E9D">
            <w:pPr>
              <w:rPr>
                <w:rFonts w:ascii="Arial" w:eastAsia="Arial" w:hAnsi="Arial" w:cs="Arial"/>
                <w:sz w:val="20"/>
                <w:szCs w:val="20"/>
              </w:rPr>
            </w:pPr>
          </w:p>
        </w:tc>
      </w:tr>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lastRenderedPageBreak/>
              <w:t>Sup</w:t>
            </w:r>
            <w:r>
              <w:rPr>
                <w:rFonts w:ascii="Arial" w:eastAsia="Arial" w:hAnsi="Arial" w:cs="Arial"/>
                <w:i/>
                <w:sz w:val="20"/>
                <w:szCs w:val="20"/>
              </w:rPr>
              <w:t>porting documentation  providing proof of equal or greater safety performance</w:t>
            </w:r>
          </w:p>
        </w:tc>
        <w:tc>
          <w:tcPr>
            <w:tcW w:w="8340"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NRC-Full Scale Fire Study of Spatial Separation Research Report IRC-RR-195; May 19, 2005</w:t>
            </w:r>
          </w:p>
          <w:p w:rsidR="00F46E9D" w:rsidRDefault="00977310">
            <w:pPr>
              <w:rPr>
                <w:rFonts w:ascii="Arial" w:eastAsia="Arial" w:hAnsi="Arial" w:cs="Arial"/>
                <w:sz w:val="20"/>
                <w:szCs w:val="20"/>
              </w:rPr>
            </w:pPr>
            <w:r>
              <w:rPr>
                <w:rFonts w:ascii="Arial" w:eastAsia="Arial" w:hAnsi="Arial" w:cs="Arial"/>
                <w:sz w:val="20"/>
                <w:szCs w:val="20"/>
              </w:rPr>
              <w:t>Larden Muniak Consulting Inc. – Spatial Separation Between Residential Buildings – Feb 15</w:t>
            </w:r>
            <w:r>
              <w:rPr>
                <w:rFonts w:ascii="Arial" w:eastAsia="Arial" w:hAnsi="Arial" w:cs="Arial"/>
                <w:sz w:val="20"/>
                <w:szCs w:val="20"/>
              </w:rPr>
              <w:t>, 2011 Intertek, Report Number 100397303SAT-002, issue date April 28, 2011.</w:t>
            </w:r>
          </w:p>
          <w:p w:rsidR="00F46E9D" w:rsidRDefault="00F46E9D">
            <w:pPr>
              <w:rPr>
                <w:rFonts w:ascii="Arial" w:eastAsia="Arial" w:hAnsi="Arial" w:cs="Arial"/>
                <w:sz w:val="20"/>
                <w:szCs w:val="20"/>
              </w:rPr>
            </w:pPr>
          </w:p>
        </w:tc>
      </w:tr>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Address and /or legal description of the property upon which the thing, process or activity which is the subject-matter of the variance is located.</w:t>
            </w:r>
          </w:p>
        </w:tc>
        <w:tc>
          <w:tcPr>
            <w:tcW w:w="8340" w:type="dxa"/>
            <w:shd w:val="clear" w:color="auto" w:fill="FFFFFF"/>
          </w:tcPr>
          <w:p w:rsidR="00F46E9D" w:rsidRDefault="00977310">
            <w:pPr>
              <w:rPr>
                <w:rFonts w:ascii="Arial" w:eastAsia="Arial" w:hAnsi="Arial" w:cs="Arial"/>
                <w:color w:val="CC0000"/>
                <w:sz w:val="20"/>
                <w:szCs w:val="20"/>
              </w:rPr>
            </w:pPr>
            <w:r>
              <w:rPr>
                <w:rFonts w:ascii="Arial" w:eastAsia="Arial" w:hAnsi="Arial" w:cs="Arial"/>
                <w:color w:val="CC0000"/>
                <w:sz w:val="20"/>
                <w:szCs w:val="20"/>
              </w:rPr>
              <w:t>00000 - 00 Street</w:t>
            </w:r>
          </w:p>
          <w:p w:rsidR="00F46E9D" w:rsidRDefault="00977310">
            <w:pPr>
              <w:rPr>
                <w:rFonts w:ascii="Arial" w:eastAsia="Arial" w:hAnsi="Arial" w:cs="Arial"/>
                <w:color w:val="CC0000"/>
                <w:sz w:val="20"/>
                <w:szCs w:val="20"/>
              </w:rPr>
            </w:pPr>
            <w:r>
              <w:rPr>
                <w:rFonts w:ascii="Arial" w:eastAsia="Arial" w:hAnsi="Arial" w:cs="Arial"/>
                <w:color w:val="CC0000"/>
                <w:sz w:val="20"/>
                <w:szCs w:val="20"/>
              </w:rPr>
              <w:t>Edmonton, Alberta</w:t>
            </w:r>
          </w:p>
          <w:p w:rsidR="00F46E9D" w:rsidRDefault="00977310">
            <w:pPr>
              <w:rPr>
                <w:rFonts w:ascii="Arial" w:eastAsia="Arial" w:hAnsi="Arial" w:cs="Arial"/>
                <w:color w:val="CC0000"/>
                <w:sz w:val="20"/>
                <w:szCs w:val="20"/>
              </w:rPr>
            </w:pPr>
            <w:r>
              <w:rPr>
                <w:rFonts w:ascii="Arial" w:eastAsia="Arial" w:hAnsi="Arial" w:cs="Arial"/>
                <w:color w:val="CC0000"/>
                <w:sz w:val="20"/>
                <w:szCs w:val="20"/>
              </w:rPr>
              <w:t>Plan 000000 Block 0  Lot 0</w:t>
            </w:r>
          </w:p>
          <w:p w:rsidR="00F46E9D" w:rsidRDefault="00F46E9D">
            <w:pPr>
              <w:rPr>
                <w:rFonts w:ascii="Arial" w:eastAsia="Arial" w:hAnsi="Arial" w:cs="Arial"/>
                <w:sz w:val="20"/>
                <w:szCs w:val="20"/>
              </w:rPr>
            </w:pPr>
          </w:p>
        </w:tc>
      </w:tr>
      <w:tr w:rsidR="00F46E9D">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Authority under which the variance is being issued</w:t>
            </w:r>
          </w:p>
        </w:tc>
        <w:tc>
          <w:tcPr>
            <w:tcW w:w="8340"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This Variance may be issued under the authority of the Safety Codes Act, Chapter S-1 and Clause 1.2.1.1 (1) (b) of Division A of National Building Code - 2019</w:t>
            </w:r>
            <w:r>
              <w:rPr>
                <w:rFonts w:ascii="Arial" w:eastAsia="Arial" w:hAnsi="Arial" w:cs="Arial"/>
                <w:sz w:val="20"/>
                <w:szCs w:val="20"/>
              </w:rPr>
              <w:t xml:space="preserve"> Alberta Edition.</w:t>
            </w:r>
          </w:p>
          <w:p w:rsidR="00F46E9D" w:rsidRDefault="00F46E9D">
            <w:pPr>
              <w:rPr>
                <w:rFonts w:ascii="Arial" w:eastAsia="Arial" w:hAnsi="Arial" w:cs="Arial"/>
                <w:sz w:val="20"/>
                <w:szCs w:val="20"/>
              </w:rPr>
            </w:pPr>
          </w:p>
        </w:tc>
      </w:tr>
      <w:tr w:rsidR="00F46E9D">
        <w:trPr>
          <w:trHeight w:val="1116"/>
        </w:trPr>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Declaration of understanding</w:t>
            </w:r>
          </w:p>
        </w:tc>
        <w:tc>
          <w:tcPr>
            <w:tcW w:w="8340"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By signing below, the owner or owner’s agent expressly acknowledges that the owner is aware of and agrees with this request for Variance, which is intended to provide an alternative to specific requirement(s</w:t>
            </w:r>
            <w:r>
              <w:rPr>
                <w:rFonts w:ascii="Arial" w:eastAsia="Arial" w:hAnsi="Arial" w:cs="Arial"/>
                <w:sz w:val="20"/>
                <w:szCs w:val="20"/>
              </w:rPr>
              <w:t>) of the National Building Code - 2019 Alberta Edition, and that it is the responsibility of the owner to provide and maintain safety in accordance with the Variance.</w:t>
            </w:r>
          </w:p>
        </w:tc>
      </w:tr>
      <w:tr w:rsidR="00F46E9D">
        <w:trPr>
          <w:trHeight w:val="423"/>
        </w:trPr>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Advisement of offence</w:t>
            </w:r>
          </w:p>
          <w:p w:rsidR="00F46E9D" w:rsidRDefault="00F46E9D">
            <w:pPr>
              <w:rPr>
                <w:rFonts w:ascii="Arial" w:eastAsia="Arial" w:hAnsi="Arial" w:cs="Arial"/>
                <w:sz w:val="20"/>
                <w:szCs w:val="20"/>
              </w:rPr>
            </w:pPr>
          </w:p>
        </w:tc>
        <w:tc>
          <w:tcPr>
            <w:tcW w:w="8340" w:type="dxa"/>
            <w:shd w:val="clear" w:color="auto" w:fill="FFFFFF"/>
          </w:tcPr>
          <w:p w:rsidR="00F46E9D" w:rsidRDefault="00977310">
            <w:pPr>
              <w:rPr>
                <w:rFonts w:ascii="Arial" w:eastAsia="Arial" w:hAnsi="Arial" w:cs="Arial"/>
                <w:sz w:val="20"/>
                <w:szCs w:val="20"/>
              </w:rPr>
            </w:pPr>
            <w:r>
              <w:rPr>
                <w:rFonts w:ascii="Arial" w:eastAsia="Arial" w:hAnsi="Arial" w:cs="Arial"/>
                <w:sz w:val="20"/>
                <w:szCs w:val="20"/>
              </w:rPr>
              <w:t>Non-compliance with the requirements of this Variance is an offence under the Safety Codes Act.</w:t>
            </w:r>
          </w:p>
        </w:tc>
      </w:tr>
      <w:tr w:rsidR="00F46E9D">
        <w:trPr>
          <w:trHeight w:val="3060"/>
        </w:trPr>
        <w:tc>
          <w:tcPr>
            <w:tcW w:w="1875" w:type="dxa"/>
            <w:shd w:val="clear" w:color="auto" w:fill="FFFFFF"/>
          </w:tcPr>
          <w:p w:rsidR="00F46E9D" w:rsidRDefault="00977310">
            <w:pPr>
              <w:rPr>
                <w:rFonts w:ascii="Arial" w:eastAsia="Arial" w:hAnsi="Arial" w:cs="Arial"/>
                <w:sz w:val="20"/>
                <w:szCs w:val="20"/>
              </w:rPr>
            </w:pPr>
            <w:r>
              <w:rPr>
                <w:rFonts w:ascii="Arial" w:eastAsia="Arial" w:hAnsi="Arial" w:cs="Arial"/>
                <w:i/>
                <w:sz w:val="20"/>
                <w:szCs w:val="20"/>
              </w:rPr>
              <w:t>Identification of owner or owner’s agent</w:t>
            </w:r>
          </w:p>
        </w:tc>
        <w:tc>
          <w:tcPr>
            <w:tcW w:w="8340" w:type="dxa"/>
            <w:shd w:val="clear" w:color="auto" w:fill="FFFFFF"/>
          </w:tcPr>
          <w:p w:rsidR="00F46E9D" w:rsidRDefault="00F46E9D">
            <w:pPr>
              <w:rPr>
                <w:rFonts w:ascii="Arial" w:eastAsia="Arial" w:hAnsi="Arial" w:cs="Arial"/>
                <w:sz w:val="20"/>
                <w:szCs w:val="20"/>
              </w:rPr>
            </w:pPr>
          </w:p>
          <w:p w:rsidR="00F46E9D" w:rsidRDefault="00F46E9D">
            <w:pPr>
              <w:rPr>
                <w:rFonts w:ascii="Arial" w:eastAsia="Arial" w:hAnsi="Arial" w:cs="Arial"/>
                <w:sz w:val="20"/>
                <w:szCs w:val="20"/>
              </w:rPr>
            </w:pPr>
          </w:p>
          <w:p w:rsidR="00F46E9D" w:rsidRDefault="00977310">
            <w:pPr>
              <w:rPr>
                <w:rFonts w:ascii="Arial" w:eastAsia="Arial" w:hAnsi="Arial" w:cs="Arial"/>
                <w:sz w:val="20"/>
                <w:szCs w:val="20"/>
              </w:rPr>
            </w:pPr>
            <w:r>
              <w:rPr>
                <w:rFonts w:ascii="Arial" w:eastAsia="Arial" w:hAnsi="Arial" w:cs="Arial"/>
                <w:sz w:val="20"/>
                <w:szCs w:val="20"/>
              </w:rPr>
              <w:t>____________________________________</w:t>
            </w:r>
          </w:p>
          <w:p w:rsidR="00F46E9D" w:rsidRDefault="00977310">
            <w:pPr>
              <w:rPr>
                <w:rFonts w:ascii="Arial" w:eastAsia="Arial" w:hAnsi="Arial" w:cs="Arial"/>
                <w:sz w:val="20"/>
                <w:szCs w:val="20"/>
              </w:rPr>
            </w:pPr>
            <w:r>
              <w:rPr>
                <w:rFonts w:ascii="Arial" w:eastAsia="Arial" w:hAnsi="Arial" w:cs="Arial"/>
                <w:i/>
                <w:sz w:val="20"/>
                <w:szCs w:val="20"/>
              </w:rPr>
              <w:t xml:space="preserve">signature </w:t>
            </w:r>
          </w:p>
          <w:p w:rsidR="00F46E9D" w:rsidRDefault="00F46E9D">
            <w:pPr>
              <w:rPr>
                <w:rFonts w:ascii="Arial" w:eastAsia="Arial" w:hAnsi="Arial" w:cs="Arial"/>
                <w:sz w:val="20"/>
                <w:szCs w:val="20"/>
              </w:rPr>
            </w:pPr>
          </w:p>
          <w:p w:rsidR="00F46E9D" w:rsidRDefault="00F46E9D">
            <w:pPr>
              <w:rPr>
                <w:rFonts w:ascii="Arial" w:eastAsia="Arial" w:hAnsi="Arial" w:cs="Arial"/>
                <w:sz w:val="20"/>
                <w:szCs w:val="20"/>
              </w:rPr>
            </w:pPr>
          </w:p>
          <w:p w:rsidR="00F46E9D" w:rsidRDefault="00977310">
            <w:pPr>
              <w:rPr>
                <w:rFonts w:ascii="Arial" w:eastAsia="Arial" w:hAnsi="Arial" w:cs="Arial"/>
                <w:sz w:val="20"/>
                <w:szCs w:val="20"/>
              </w:rPr>
            </w:pPr>
            <w:r>
              <w:rPr>
                <w:rFonts w:ascii="Arial" w:eastAsia="Arial" w:hAnsi="Arial" w:cs="Arial"/>
                <w:sz w:val="20"/>
                <w:szCs w:val="20"/>
              </w:rPr>
              <w:t>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p>
          <w:p w:rsidR="00F46E9D" w:rsidRDefault="00977310">
            <w:pPr>
              <w:rPr>
                <w:rFonts w:ascii="Arial" w:eastAsia="Arial" w:hAnsi="Arial" w:cs="Arial"/>
                <w:sz w:val="20"/>
                <w:szCs w:val="20"/>
              </w:rPr>
            </w:pPr>
            <w:r>
              <w:rPr>
                <w:rFonts w:ascii="Arial" w:eastAsia="Arial" w:hAnsi="Arial" w:cs="Arial"/>
                <w:sz w:val="20"/>
                <w:szCs w:val="20"/>
              </w:rPr>
              <w:t>owner</w:t>
            </w:r>
          </w:p>
          <w:p w:rsidR="00F46E9D" w:rsidRDefault="00F46E9D">
            <w:pPr>
              <w:rPr>
                <w:rFonts w:ascii="Arial" w:eastAsia="Arial" w:hAnsi="Arial" w:cs="Arial"/>
                <w:sz w:val="20"/>
                <w:szCs w:val="20"/>
              </w:rPr>
            </w:pPr>
          </w:p>
          <w:p w:rsidR="00F46E9D" w:rsidRDefault="00F46E9D">
            <w:pPr>
              <w:rPr>
                <w:rFonts w:ascii="Arial" w:eastAsia="Arial" w:hAnsi="Arial" w:cs="Arial"/>
                <w:sz w:val="20"/>
                <w:szCs w:val="20"/>
              </w:rPr>
            </w:pPr>
          </w:p>
          <w:p w:rsidR="00F46E9D" w:rsidRDefault="00977310">
            <w:pPr>
              <w:rPr>
                <w:rFonts w:ascii="Arial" w:eastAsia="Arial" w:hAnsi="Arial" w:cs="Arial"/>
                <w:sz w:val="20"/>
                <w:szCs w:val="20"/>
              </w:rPr>
            </w:pPr>
            <w:r>
              <w:rPr>
                <w:rFonts w:ascii="Arial" w:eastAsia="Arial" w:hAnsi="Arial" w:cs="Arial"/>
                <w:sz w:val="20"/>
                <w:szCs w:val="20"/>
              </w:rPr>
              <w:t>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p>
          <w:p w:rsidR="00F46E9D" w:rsidRDefault="00977310">
            <w:pPr>
              <w:rPr>
                <w:rFonts w:ascii="Arial" w:eastAsia="Arial" w:hAnsi="Arial" w:cs="Arial"/>
                <w:sz w:val="20"/>
                <w:szCs w:val="20"/>
              </w:rPr>
            </w:pPr>
            <w:r>
              <w:rPr>
                <w:rFonts w:ascii="Arial" w:eastAsia="Arial" w:hAnsi="Arial" w:cs="Arial"/>
                <w:sz w:val="20"/>
                <w:szCs w:val="20"/>
              </w:rPr>
              <w:t>owner’s agent</w:t>
            </w:r>
          </w:p>
        </w:tc>
      </w:tr>
    </w:tbl>
    <w:p w:rsidR="00F46E9D" w:rsidRDefault="00F46E9D">
      <w:pPr>
        <w:rPr>
          <w:rFonts w:ascii="Arial" w:eastAsia="Arial" w:hAnsi="Arial" w:cs="Arial"/>
          <w:b/>
          <w:sz w:val="36"/>
          <w:szCs w:val="36"/>
        </w:rPr>
      </w:pPr>
    </w:p>
    <w:sectPr w:rsidR="00F46E9D">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440" w:left="1152" w:header="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10" w:rsidRDefault="00977310">
      <w:r>
        <w:separator/>
      </w:r>
    </w:p>
  </w:endnote>
  <w:endnote w:type="continuationSeparator" w:id="0">
    <w:p w:rsidR="00977310" w:rsidRDefault="0097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9D" w:rsidRDefault="00F46E9D">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9D" w:rsidRDefault="00977310">
    <w:pPr>
      <w:spacing w:line="276" w:lineRule="auto"/>
      <w:jc w:val="right"/>
      <w:rPr>
        <w:rFonts w:ascii="Arial" w:eastAsia="Arial" w:hAnsi="Arial" w:cs="Arial"/>
        <w:color w:val="000000"/>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sidR="0023178F">
      <w:rPr>
        <w:rFonts w:ascii="Arial" w:eastAsia="Arial" w:hAnsi="Arial" w:cs="Arial"/>
        <w:sz w:val="20"/>
        <w:szCs w:val="20"/>
      </w:rPr>
      <w:fldChar w:fldCharType="separate"/>
    </w:r>
    <w:r w:rsidR="0023178F">
      <w:rPr>
        <w:rFonts w:ascii="Arial" w:eastAsia="Arial" w:hAnsi="Arial" w:cs="Arial"/>
        <w:noProof/>
        <w:sz w:val="20"/>
        <w:szCs w:val="20"/>
      </w:rPr>
      <w:t>2</w:t>
    </w:r>
    <w:r>
      <w:rPr>
        <w:rFonts w:ascii="Arial" w:eastAsia="Arial" w:hAnsi="Arial" w:cs="Arial"/>
        <w:sz w:val="20"/>
        <w:szCs w:val="20"/>
      </w:rPr>
      <w:fldChar w:fldCharType="end"/>
    </w:r>
    <w:r>
      <w:rPr>
        <w:rFonts w:ascii="Arial" w:eastAsia="Arial" w:hAnsi="Arial" w:cs="Arial"/>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sidR="0023178F">
      <w:rPr>
        <w:rFonts w:ascii="Arial" w:eastAsia="Arial" w:hAnsi="Arial" w:cs="Arial"/>
        <w:sz w:val="20"/>
        <w:szCs w:val="20"/>
      </w:rPr>
      <w:fldChar w:fldCharType="separate"/>
    </w:r>
    <w:r w:rsidR="0023178F">
      <w:rPr>
        <w:rFonts w:ascii="Arial" w:eastAsia="Arial" w:hAnsi="Arial" w:cs="Arial"/>
        <w:noProof/>
        <w:sz w:val="20"/>
        <w:szCs w:val="20"/>
      </w:rPr>
      <w:t>2</w:t>
    </w:r>
    <w:r>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9D" w:rsidRDefault="00F46E9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10" w:rsidRDefault="00977310">
      <w:r>
        <w:separator/>
      </w:r>
    </w:p>
  </w:footnote>
  <w:footnote w:type="continuationSeparator" w:id="0">
    <w:p w:rsidR="00977310" w:rsidRDefault="00977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9D" w:rsidRDefault="00F46E9D">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9D" w:rsidRDefault="00F46E9D"/>
  <w:p w:rsidR="00F46E9D" w:rsidRDefault="00F46E9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E9D" w:rsidRDefault="00F46E9D">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1D19"/>
    <w:multiLevelType w:val="multilevel"/>
    <w:tmpl w:val="EBBC3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9D"/>
    <w:rsid w:val="0023178F"/>
    <w:rsid w:val="00977310"/>
    <w:rsid w:val="00F4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50675-D8FA-4FB5-98DA-824F20F2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B0C884AF7924A805C7C33C6808683" ma:contentTypeVersion="13" ma:contentTypeDescription="Create a new document." ma:contentTypeScope="" ma:versionID="fed116d2552be87e50b5f71cc6876b7a">
  <xsd:schema xmlns:xsd="http://www.w3.org/2001/XMLSchema" xmlns:xs="http://www.w3.org/2001/XMLSchema" xmlns:p="http://schemas.microsoft.com/office/2006/metadata/properties" xmlns:ns2="6855c116-f6ce-464c-b9cc-66e9382a801c" xmlns:ns3="18d70ca5-e9a6-49ac-b62b-623b7dce2e96" targetNamespace="http://schemas.microsoft.com/office/2006/metadata/properties" ma:root="true" ma:fieldsID="a48b697a4618bfcc245f6688ab2bf9ec" ns2:_="" ns3:_="">
    <xsd:import namespace="6855c116-f6ce-464c-b9cc-66e9382a801c"/>
    <xsd:import namespace="18d70ca5-e9a6-49ac-b62b-623b7dce2e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5c116-f6ce-464c-b9cc-66e9382a8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70ca5-e9a6-49ac-b62b-623b7dce2e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5352E9-841E-4C69-BA58-55B3575BA906}">
  <ds:schemaRefs>
    <ds:schemaRef ds:uri="http://schemas.microsoft.com/sharepoint/v3/contenttype/forms"/>
  </ds:schemaRefs>
</ds:datastoreItem>
</file>

<file path=customXml/itemProps2.xml><?xml version="1.0" encoding="utf-8"?>
<ds:datastoreItem xmlns:ds="http://schemas.openxmlformats.org/officeDocument/2006/customXml" ds:itemID="{04ACE9EB-3790-4A6C-A6A4-392DCFC2B6B0}"/>
</file>

<file path=customXml/itemProps3.xml><?xml version="1.0" encoding="utf-8"?>
<ds:datastoreItem xmlns:ds="http://schemas.openxmlformats.org/officeDocument/2006/customXml" ds:itemID="{24E51C62-0A19-415B-A391-0AC1F50773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Forbes</dc:creator>
  <cp:lastModifiedBy>Danielle Forbes</cp:lastModifiedBy>
  <cp:revision>2</cp:revision>
  <dcterms:created xsi:type="dcterms:W3CDTF">2022-01-18T21:32:00Z</dcterms:created>
  <dcterms:modified xsi:type="dcterms:W3CDTF">2022-01-18T21:32:00Z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0x010100DE6B0C884AF7924A805C7C33C6808683</vt:lpwstr>
  </property>
</Properties>
</file>